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9C" w:rsidRDefault="0080089C" w:rsidP="004536EB">
      <w:pPr>
        <w:keepNext/>
        <w:keepLines/>
        <w:spacing w:after="120" w:line="259" w:lineRule="auto"/>
        <w:ind w:left="861" w:hanging="10"/>
        <w:outlineLvl w:val="2"/>
        <w:rPr>
          <w:rFonts w:cs="Calibri"/>
          <w:b/>
          <w:i/>
          <w:color w:val="000000"/>
          <w:lang w:val="en-US" w:eastAsia="el-GR"/>
        </w:rPr>
      </w:pPr>
      <w:bookmarkStart w:id="0" w:name="_GoBack"/>
      <w:bookmarkStart w:id="1" w:name="_Toc46847178"/>
      <w:bookmarkEnd w:id="0"/>
    </w:p>
    <w:p w:rsidR="0080089C" w:rsidRPr="004536EB" w:rsidRDefault="0080089C" w:rsidP="004536EB">
      <w:pPr>
        <w:keepNext/>
        <w:keepLines/>
        <w:spacing w:after="120" w:line="259" w:lineRule="auto"/>
        <w:ind w:left="861" w:hanging="10"/>
        <w:outlineLvl w:val="2"/>
        <w:rPr>
          <w:rFonts w:cs="Calibri"/>
          <w:b/>
          <w:i/>
          <w:color w:val="000000"/>
          <w:lang w:eastAsia="el-GR"/>
        </w:rPr>
      </w:pPr>
      <w:r>
        <w:rPr>
          <w:rFonts w:cs="Calibri"/>
          <w:b/>
          <w:i/>
          <w:color w:val="000000"/>
          <w:lang w:eastAsia="el-GR"/>
        </w:rPr>
        <w:t xml:space="preserve">ΠΑΡΑΡΤΗΜΑ Ι : </w:t>
      </w:r>
      <w:r w:rsidRPr="004536EB">
        <w:rPr>
          <w:rFonts w:cs="Calibri"/>
          <w:b/>
          <w:i/>
          <w:color w:val="000000"/>
          <w:lang w:eastAsia="el-GR"/>
        </w:rPr>
        <w:t xml:space="preserve">ΠΙΝΑΚΑΣ </w:t>
      </w:r>
      <w:r>
        <w:rPr>
          <w:rFonts w:cs="Calibri"/>
          <w:b/>
          <w:i/>
          <w:color w:val="000000"/>
          <w:lang w:eastAsia="el-GR"/>
        </w:rPr>
        <w:t>ΠΡΟΣΘΕΤΩΝ</w:t>
      </w:r>
      <w:r w:rsidRPr="004536EB">
        <w:rPr>
          <w:rFonts w:cs="Calibri"/>
          <w:b/>
          <w:i/>
          <w:color w:val="000000"/>
          <w:lang w:eastAsia="el-GR"/>
        </w:rPr>
        <w:t xml:space="preserve"> ΕΠΙΛΕΞΙΜΩΝ ΚΩΔΙΚΩΝ ΑΡΙΘΜΩΝ ΔΡΑΣΤΗΡΙΟΤΗΤΑΣ (ΚΑΔ)</w:t>
      </w:r>
      <w:bookmarkEnd w:id="1"/>
    </w:p>
    <w:tbl>
      <w:tblPr>
        <w:tblW w:w="9337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6"/>
        <w:gridCol w:w="7931"/>
      </w:tblGrid>
      <w:tr w:rsidR="0080089C" w:rsidRPr="00352E0A" w:rsidTr="00004586">
        <w:trPr>
          <w:trHeight w:val="984"/>
          <w:jc w:val="center"/>
        </w:trPr>
        <w:tc>
          <w:tcPr>
            <w:tcW w:w="9337" w:type="dxa"/>
            <w:gridSpan w:val="2"/>
            <w:vAlign w:val="center"/>
          </w:tcPr>
          <w:p w:rsidR="0080089C" w:rsidRPr="00352E0A" w:rsidRDefault="0080089C" w:rsidP="007B4F3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l-GR"/>
              </w:rPr>
            </w:pPr>
            <w:r w:rsidRPr="00352E0A">
              <w:rPr>
                <w:rFonts w:cs="Calibri"/>
                <w:color w:val="000000"/>
                <w:sz w:val="18"/>
                <w:szCs w:val="18"/>
                <w:lang w:eastAsia="el-GR"/>
              </w:rPr>
              <w:t xml:space="preserve">Σε περίπτωση τετραψήφιου ΚΑΔ συμπεριλαμβάνονται όλες οι υποκατηγορίες πενταψήφιων, εξαψήφιων και οκταψήφιων. </w:t>
            </w:r>
          </w:p>
          <w:p w:rsidR="0080089C" w:rsidRPr="00352E0A" w:rsidRDefault="0080089C" w:rsidP="007B4F3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l-GR"/>
              </w:rPr>
            </w:pPr>
            <w:r w:rsidRPr="00352E0A">
              <w:rPr>
                <w:rFonts w:cs="Calibri"/>
                <w:color w:val="000000"/>
                <w:sz w:val="18"/>
                <w:szCs w:val="18"/>
                <w:lang w:eastAsia="el-GR"/>
              </w:rPr>
              <w:t xml:space="preserve">Σε περίπτωση πενταψήφιου συμπεριλαμβάνονται όλες οι κατηγορίες εξαψήφιων και οκταψήφιων. </w:t>
            </w:r>
          </w:p>
          <w:p w:rsidR="0080089C" w:rsidRPr="00352E0A" w:rsidRDefault="0080089C" w:rsidP="007B4F3F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 w:val="18"/>
                <w:szCs w:val="18"/>
                <w:lang w:eastAsia="el-GR"/>
              </w:rPr>
              <w:t>Σε περίπτωση εξαψήφιου συμπεριλαμβάνονται όλες οι κατηγορίες οκταψήφιων.</w:t>
            </w:r>
          </w:p>
        </w:tc>
      </w:tr>
      <w:tr w:rsidR="0080089C" w:rsidRPr="00746F07" w:rsidTr="00004586">
        <w:trPr>
          <w:trHeight w:val="312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b/>
                <w:bCs/>
                <w:color w:val="000000"/>
                <w:szCs w:val="20"/>
                <w:lang w:eastAsia="el-GR"/>
              </w:rPr>
              <w:t xml:space="preserve">ΚΑΔ 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b/>
                <w:bCs/>
                <w:color w:val="000000"/>
                <w:szCs w:val="20"/>
                <w:lang w:eastAsia="el-GR"/>
              </w:rPr>
              <w:t xml:space="preserve"> ΚΛΑΔΟΣ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09.10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Υποστηρικτικές δραστηριότητες για την άντληση πετρελαίου και φυσικού αερίου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09.90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Υποστηρικτικές δραστηριότητες για άλλες εξορυκτικές και λατομικές δραστηριότητες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10.81</w:t>
            </w:r>
          </w:p>
        </w:tc>
        <w:tc>
          <w:tcPr>
            <w:tcW w:w="7931" w:type="dxa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 xml:space="preserve"> Παραγωγή ζάχαρης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10.82</w:t>
            </w:r>
          </w:p>
        </w:tc>
        <w:tc>
          <w:tcPr>
            <w:tcW w:w="7931" w:type="dxa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Παραγωγή κακάου, σοκολάτας και ζαχαρωτών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11.06</w:t>
            </w:r>
          </w:p>
        </w:tc>
        <w:tc>
          <w:tcPr>
            <w:tcW w:w="7931" w:type="dxa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 xml:space="preserve"> Παραγωγή βύνης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17.24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Κατασκευή χαρτιού για επενδύσεις τοίχων (ταπετσαρίας)</w:t>
            </w:r>
          </w:p>
        </w:tc>
      </w:tr>
      <w:tr w:rsidR="0080089C" w:rsidRPr="00746F07" w:rsidTr="00004586">
        <w:trPr>
          <w:trHeight w:val="323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23.14</w:t>
            </w:r>
          </w:p>
        </w:tc>
        <w:tc>
          <w:tcPr>
            <w:tcW w:w="7931" w:type="dxa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 xml:space="preserve"> Κατασκευή ινών γυαλιού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23.43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Κατασκευή κεραμικών μονωτών και κεραμικών μονωτικών εξαρτημάτων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23.44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Κατασκευή άλλων κεραμικών προϊόντων για τεχνικές χρήσεις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28.24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Κατασκευή ηλεκτροκίνητων εργαλείων χειρός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46.21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σιτηρών, ακατέργαστου καπνού, σπόρων και ζωοτροφών, εξαιρουμένων των ΚΑΔ  46.21.19.11, και  46.21.2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46.22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λουλουδιών και φυτών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46.23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Χονδρικό εμπόριο ζώντων ζώων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46.24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δερμάτων, προβιών και κατεργασμένου δέρματος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46.31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φρούτων και λαχανικών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κρέατος και προϊόντων κρέατος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46.33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γαλακτοκομικών προϊόντων, αβγών και βρώσιμων ελαίων και λιπών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46.34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Χονδρικό εμπόριο ποτών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46.36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ζάχαρης, σοκολάτας και ειδών ζαχαροπλαστικής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46.37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καφέ, τσαγιού, κακάου και μπαχαρικών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46.38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άλλων τροφίμων, συμπεριλαμβανομένων ψαριών, καρκινοειδών και μαλακίων, εξαιρουμένου του ΚΑΔ 46.38.1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46.46.12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Χονδρικό εμπόριο χειρουργικών, ιατρικών και ορθοπεδικών οργάνων και συσκευών</w:t>
            </w:r>
          </w:p>
        </w:tc>
      </w:tr>
      <w:tr w:rsidR="0080089C" w:rsidRPr="00352E0A" w:rsidTr="00004586">
        <w:trPr>
          <w:trHeight w:val="576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 xml:space="preserve">47.19 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Άλλο λιανικό εμπόριο σε μη εξειδικευμένα καταστήματα, εκτός από Εκμετάλλευση καταστήματος ψιλικών ειδών γενικά (47.19.10.01), </w:t>
            </w:r>
          </w:p>
        </w:tc>
      </w:tr>
      <w:tr w:rsidR="0080089C" w:rsidRPr="00352E0A" w:rsidTr="00004586">
        <w:trPr>
          <w:trHeight w:val="864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 xml:space="preserve">47.75 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Λιανικό εμπόριο καλλυντικών και ειδών καλλωπισμού σε εξειδικευμένα καταστήματα</w:t>
            </w:r>
          </w:p>
        </w:tc>
      </w:tr>
      <w:tr w:rsidR="0080089C" w:rsidRPr="00352E0A" w:rsidTr="00004586">
        <w:trPr>
          <w:trHeight w:val="574"/>
          <w:jc w:val="center"/>
        </w:trPr>
        <w:tc>
          <w:tcPr>
            <w:tcW w:w="1406" w:type="dxa"/>
            <w:noWrap/>
            <w:vAlign w:val="center"/>
          </w:tcPr>
          <w:p w:rsidR="0080089C" w:rsidRPr="006C64C1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6C64C1">
              <w:rPr>
                <w:rFonts w:cs="Calibri"/>
                <w:color w:val="000000"/>
                <w:szCs w:val="20"/>
                <w:lang w:eastAsia="el-GR"/>
              </w:rPr>
              <w:t>47.78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Άλλο λιανικό εμπόριο καινούργιων ειδών σε εξειδικευμένα καταστήματα</w:t>
            </w:r>
          </w:p>
        </w:tc>
      </w:tr>
      <w:tr w:rsidR="0080089C" w:rsidRPr="00352E0A" w:rsidTr="00004586">
        <w:trPr>
          <w:trHeight w:val="574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47.91.71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Λιανικό εμπόριο ειδών ιματισμού, με αλληλογραφία ή μέσω διαδίκτυου</w:t>
            </w:r>
          </w:p>
        </w:tc>
      </w:tr>
      <w:tr w:rsidR="0080089C" w:rsidRPr="00352E0A" w:rsidTr="00004586">
        <w:trPr>
          <w:trHeight w:val="574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47.91.72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Λιανικό εμπόριο υποδημάτων, με αλληλογραφία ή μέσω διαδίκτυου</w:t>
            </w:r>
          </w:p>
        </w:tc>
      </w:tr>
      <w:tr w:rsidR="0080089C" w:rsidRPr="00352E0A" w:rsidTr="00004586">
        <w:trPr>
          <w:trHeight w:val="574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47.91.73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after="160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Λιανικό εμπόριο δερμάτινων ειδών και ειδών ταξιδιού, με αλληλογραφία ή μέσω διαδίκτυου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53.20</w:t>
            </w:r>
          </w:p>
        </w:tc>
        <w:tc>
          <w:tcPr>
            <w:tcW w:w="7931" w:type="dxa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Άλλες ταχυδρομικές και ταχύ μεταφορικές δραστηριότητες, εξαρουμένου του ΚΑΔ  Υπηρεσίες κατ’ οίκον παράδοσης τροφίμων (</w:t>
            </w:r>
            <w:r w:rsidRPr="004536EB">
              <w:rPr>
                <w:rFonts w:cs="Calibri"/>
                <w:color w:val="000000"/>
                <w:szCs w:val="20"/>
                <w:lang w:eastAsia="el-GR"/>
              </w:rPr>
              <w:t>delivery</w:t>
            </w:r>
            <w:r w:rsidRPr="00352E0A">
              <w:rPr>
                <w:rFonts w:cs="Calibri"/>
                <w:color w:val="000000"/>
                <w:szCs w:val="20"/>
                <w:lang w:eastAsia="el-GR"/>
              </w:rPr>
              <w:t>) (53.20.12)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64.91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Χρηματοδοτική μίσθωση (leasing)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65.11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Ασφάλειες ζωής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65.12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Ασφάλειες εκτός από τις ασφάλειες ζωής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65.20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Αντασφάλιση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szCs w:val="20"/>
              </w:rPr>
              <w:t xml:space="preserve">66.19 </w:t>
            </w:r>
          </w:p>
        </w:tc>
        <w:tc>
          <w:tcPr>
            <w:tcW w:w="7931" w:type="dxa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szCs w:val="20"/>
              </w:rPr>
              <w:t xml:space="preserve">Άλλες δραστηριότητες συναφείς προς τις χρηματοπιστωτικές υπηρεσίες, με εξαίρεση τις ασφαλιστικές δραστηριότητες και τα συνταξιοδοτικά ταμεία 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66.21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Αξιολόγηση κινδύνων και ζημιών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66.22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Δραστηριότητες ασφαλιστικών πρακτόρων και μεσιτών</w:t>
            </w:r>
          </w:p>
        </w:tc>
      </w:tr>
      <w:tr w:rsidR="0080089C" w:rsidRPr="00352E0A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66.29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>Άλλες δραστηριότητες συναφείς προς τις ασφαλίσεις και τα συνταξιοδοτικά ταμεία</w:t>
            </w:r>
          </w:p>
        </w:tc>
      </w:tr>
      <w:tr w:rsidR="0080089C" w:rsidRPr="00746F07" w:rsidTr="00004586">
        <w:trPr>
          <w:trHeight w:val="288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73.12</w:t>
            </w:r>
          </w:p>
        </w:tc>
        <w:tc>
          <w:tcPr>
            <w:tcW w:w="7931" w:type="dxa"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Παρουσίαση στα μέσα ενημέρωσης</w:t>
            </w:r>
          </w:p>
        </w:tc>
      </w:tr>
      <w:tr w:rsidR="0080089C" w:rsidRPr="00352E0A" w:rsidTr="00004586">
        <w:trPr>
          <w:trHeight w:val="576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84.13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Ρύθμιση των επιχειρηματικών δραστηριοτήτων και συμβολή στην αποτελεσματικότερη λειτουργία των επιχειρήσεων </w:t>
            </w:r>
          </w:p>
        </w:tc>
      </w:tr>
      <w:tr w:rsidR="0080089C" w:rsidRPr="00352E0A" w:rsidTr="00004586">
        <w:trPr>
          <w:trHeight w:val="576"/>
          <w:jc w:val="center"/>
        </w:trPr>
        <w:tc>
          <w:tcPr>
            <w:tcW w:w="1406" w:type="dxa"/>
            <w:noWrap/>
            <w:vAlign w:val="center"/>
          </w:tcPr>
          <w:p w:rsidR="0080089C" w:rsidRPr="004536EB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4536EB">
              <w:rPr>
                <w:rFonts w:cs="Calibri"/>
                <w:color w:val="000000"/>
                <w:szCs w:val="20"/>
                <w:lang w:eastAsia="el-GR"/>
              </w:rPr>
              <w:t>96.09</w:t>
            </w:r>
          </w:p>
        </w:tc>
        <w:tc>
          <w:tcPr>
            <w:tcW w:w="7931" w:type="dxa"/>
            <w:vAlign w:val="center"/>
          </w:tcPr>
          <w:p w:rsidR="0080089C" w:rsidRPr="00352E0A" w:rsidRDefault="0080089C" w:rsidP="007B4F3F">
            <w:pPr>
              <w:spacing w:line="240" w:lineRule="auto"/>
              <w:rPr>
                <w:rFonts w:cs="Calibri"/>
                <w:color w:val="000000"/>
                <w:szCs w:val="20"/>
                <w:lang w:eastAsia="el-GR"/>
              </w:rPr>
            </w:pPr>
            <w:r w:rsidRPr="00352E0A">
              <w:rPr>
                <w:rFonts w:cs="Calibri"/>
                <w:color w:val="000000"/>
                <w:szCs w:val="20"/>
                <w:lang w:eastAsia="el-GR"/>
              </w:rPr>
              <w:t xml:space="preserve"> Άλλες δραστηριότητες παροχής προσωπικών υπηρεσιών π.δ.κ.α.,. εκτός από: Υπηρεσίες οικιακού υπηρέτη (96.09.19.13), Υπηρεσίες προσωπικού οδηγού αυτοκινήτων (96.09.19.15)</w:t>
            </w:r>
          </w:p>
        </w:tc>
      </w:tr>
    </w:tbl>
    <w:p w:rsidR="0080089C" w:rsidRPr="004536EB" w:rsidRDefault="0080089C" w:rsidP="004536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089C" w:rsidRPr="004536EB" w:rsidRDefault="0080089C" w:rsidP="004536EB">
      <w:pPr>
        <w:spacing w:after="160" w:line="259" w:lineRule="auto"/>
        <w:rPr>
          <w:rFonts w:cs="Calibri"/>
          <w:b/>
          <w:i/>
          <w:color w:val="000000"/>
          <w:lang w:eastAsia="el-GR"/>
        </w:rPr>
      </w:pPr>
    </w:p>
    <w:sectPr w:rsidR="0080089C" w:rsidRPr="004536EB" w:rsidSect="00F47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1EE"/>
    <w:rsid w:val="00004586"/>
    <w:rsid w:val="0001379C"/>
    <w:rsid w:val="00111ED6"/>
    <w:rsid w:val="00116C34"/>
    <w:rsid w:val="00352E0A"/>
    <w:rsid w:val="004536EB"/>
    <w:rsid w:val="00487F04"/>
    <w:rsid w:val="004A41EE"/>
    <w:rsid w:val="005329ED"/>
    <w:rsid w:val="006C64C1"/>
    <w:rsid w:val="00727202"/>
    <w:rsid w:val="00746F07"/>
    <w:rsid w:val="007B4F3F"/>
    <w:rsid w:val="0080089C"/>
    <w:rsid w:val="008A57D9"/>
    <w:rsid w:val="008B3EF6"/>
    <w:rsid w:val="00B25FEC"/>
    <w:rsid w:val="00C32793"/>
    <w:rsid w:val="00D67631"/>
    <w:rsid w:val="00E032D8"/>
    <w:rsid w:val="00E23777"/>
    <w:rsid w:val="00F4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4757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36EB"/>
    <w:pPr>
      <w:keepNext/>
      <w:keepLines/>
      <w:spacing w:after="224" w:line="259" w:lineRule="auto"/>
      <w:ind w:left="861" w:hanging="10"/>
      <w:outlineLvl w:val="0"/>
    </w:pPr>
    <w:rPr>
      <w:rFonts w:cs="Calibri"/>
      <w:b/>
      <w:color w:val="000000"/>
      <w:sz w:val="24"/>
      <w:lang w:eastAsia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36EB"/>
    <w:pPr>
      <w:keepNext/>
      <w:keepLines/>
      <w:spacing w:after="109" w:line="266" w:lineRule="auto"/>
      <w:ind w:left="1077" w:right="504" w:hanging="10"/>
      <w:jc w:val="both"/>
      <w:outlineLvl w:val="1"/>
    </w:pPr>
    <w:rPr>
      <w:rFonts w:cs="Calibri"/>
      <w:b/>
      <w:color w:val="000000"/>
      <w:lang w:eastAsia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36EB"/>
    <w:pPr>
      <w:keepNext/>
      <w:keepLines/>
      <w:spacing w:after="120" w:line="259" w:lineRule="auto"/>
      <w:ind w:left="861" w:hanging="10"/>
      <w:outlineLvl w:val="2"/>
    </w:pPr>
    <w:rPr>
      <w:rFonts w:cs="Calibri"/>
      <w:b/>
      <w:i/>
      <w:color w:val="000000"/>
      <w:lang w:eastAsia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36EB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36EB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536EB"/>
    <w:pPr>
      <w:keepNext/>
      <w:keepLines/>
      <w:spacing w:before="40" w:after="0" w:line="259" w:lineRule="auto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36EB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536EB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36EB"/>
    <w:rPr>
      <w:rFonts w:ascii="Calibri" w:hAnsi="Calibri" w:cs="Calibri"/>
      <w:b/>
      <w:color w:val="000000"/>
      <w:sz w:val="22"/>
      <w:szCs w:val="22"/>
      <w:lang w:val="el-GR" w:eastAsia="el-GR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36EB"/>
    <w:rPr>
      <w:rFonts w:ascii="Calibri" w:hAnsi="Calibri" w:cs="Calibri"/>
      <w:b/>
      <w:color w:val="000000"/>
      <w:sz w:val="22"/>
      <w:szCs w:val="22"/>
      <w:lang w:val="el-GR" w:eastAsia="el-GR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536EB"/>
    <w:rPr>
      <w:rFonts w:ascii="Calibri" w:hAnsi="Calibri" w:cs="Calibri"/>
      <w:b/>
      <w:i/>
      <w:color w:val="000000"/>
      <w:sz w:val="22"/>
      <w:szCs w:val="22"/>
      <w:lang w:val="el-GR" w:eastAsia="el-GR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536EB"/>
    <w:rPr>
      <w:rFonts w:ascii="Calibri Light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536EB"/>
    <w:rPr>
      <w:rFonts w:ascii="Calibri Light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536EB"/>
    <w:rPr>
      <w:rFonts w:ascii="Calibri Light" w:hAnsi="Calibri Light" w:cs="Times New Roman"/>
      <w:color w:val="1F376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536EB"/>
    <w:rPr>
      <w:rFonts w:ascii="Calibri Light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536EB"/>
    <w:rPr>
      <w:rFonts w:ascii="Calibri Light" w:hAnsi="Calibri Light" w:cs="Times New Roman"/>
      <w:color w:val="272727"/>
      <w:sz w:val="21"/>
      <w:szCs w:val="21"/>
    </w:rPr>
  </w:style>
  <w:style w:type="table" w:customStyle="1" w:styleId="TableGrid">
    <w:name w:val="TableGrid"/>
    <w:uiPriority w:val="99"/>
    <w:rsid w:val="004536EB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4536EB"/>
    <w:pPr>
      <w:spacing w:after="160" w:line="259" w:lineRule="auto"/>
      <w:ind w:left="720"/>
      <w:contextualSpacing/>
    </w:pPr>
    <w:rPr>
      <w:sz w:val="20"/>
      <w:szCs w:val="20"/>
      <w:lang w:eastAsia="el-GR"/>
    </w:rPr>
  </w:style>
  <w:style w:type="table" w:customStyle="1" w:styleId="TableGrid1">
    <w:name w:val="TableGrid1"/>
    <w:uiPriority w:val="99"/>
    <w:rsid w:val="004536EB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99"/>
    <w:rsid w:val="004536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tle">
    <w:name w:val="Tittle"/>
    <w:basedOn w:val="Normal"/>
    <w:uiPriority w:val="99"/>
    <w:rsid w:val="004536EB"/>
    <w:pPr>
      <w:keepLines/>
      <w:widowControl w:val="0"/>
      <w:suppressAutoHyphens/>
      <w:overflowPunct w:val="0"/>
      <w:autoSpaceDE w:val="0"/>
      <w:spacing w:after="120" w:line="300" w:lineRule="auto"/>
      <w:jc w:val="center"/>
      <w:textAlignment w:val="baseline"/>
    </w:pPr>
    <w:rPr>
      <w:rFonts w:eastAsia="Times New Roman"/>
      <w:sz w:val="32"/>
      <w:szCs w:val="20"/>
      <w:lang w:eastAsia="ar-SA"/>
    </w:rPr>
  </w:style>
  <w:style w:type="character" w:styleId="Hyperlink">
    <w:name w:val="Hyperlink"/>
    <w:basedOn w:val="DefaultParagraphFont"/>
    <w:uiPriority w:val="99"/>
    <w:rsid w:val="004536EB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536EB"/>
    <w:pPr>
      <w:tabs>
        <w:tab w:val="left" w:pos="440"/>
        <w:tab w:val="right" w:leader="dot" w:pos="8630"/>
      </w:tabs>
      <w:spacing w:after="100" w:line="259" w:lineRule="auto"/>
    </w:pPr>
  </w:style>
  <w:style w:type="paragraph" w:styleId="TOC3">
    <w:name w:val="toc 3"/>
    <w:basedOn w:val="Normal"/>
    <w:next w:val="Normal"/>
    <w:autoRedefine/>
    <w:uiPriority w:val="99"/>
    <w:rsid w:val="004536EB"/>
    <w:pPr>
      <w:tabs>
        <w:tab w:val="right" w:pos="9345"/>
      </w:tabs>
      <w:spacing w:after="100" w:line="259" w:lineRule="auto"/>
      <w:ind w:left="142"/>
    </w:pPr>
  </w:style>
  <w:style w:type="character" w:customStyle="1" w:styleId="ListParagraphChar">
    <w:name w:val="List Paragraph Char"/>
    <w:link w:val="ListParagraph"/>
    <w:uiPriority w:val="99"/>
    <w:locked/>
    <w:rsid w:val="004536EB"/>
    <w:rPr>
      <w:rFonts w:ascii="Calibri" w:hAnsi="Calibri"/>
    </w:rPr>
  </w:style>
  <w:style w:type="paragraph" w:customStyle="1" w:styleId="Default">
    <w:name w:val="Default"/>
    <w:uiPriority w:val="99"/>
    <w:rsid w:val="004536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99"/>
    <w:qFormat/>
    <w:rsid w:val="004536EB"/>
    <w:rPr>
      <w:rFonts w:cs="Times New Roman"/>
      <w:i/>
      <w:color w:val="4472C4"/>
    </w:rPr>
  </w:style>
  <w:style w:type="paragraph" w:customStyle="1" w:styleId="ListParagraph1">
    <w:name w:val="List Paragraph1"/>
    <w:basedOn w:val="Normal"/>
    <w:uiPriority w:val="99"/>
    <w:rsid w:val="004536EB"/>
    <w:pPr>
      <w:ind w:left="720"/>
      <w:contextualSpacing/>
    </w:pPr>
    <w:rPr>
      <w:lang w:val="en-GB"/>
    </w:rPr>
  </w:style>
  <w:style w:type="paragraph" w:styleId="TOCHeading">
    <w:name w:val="TOC Heading"/>
    <w:basedOn w:val="Heading1"/>
    <w:next w:val="Normal"/>
    <w:uiPriority w:val="99"/>
    <w:qFormat/>
    <w:rsid w:val="004536EB"/>
    <w:pPr>
      <w:spacing w:before="240" w:after="0"/>
      <w:ind w:left="0" w:firstLine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rsid w:val="004536EB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uiPriority w:val="99"/>
    <w:rsid w:val="0045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3">
    <w:name w:val="xl63"/>
    <w:basedOn w:val="Normal"/>
    <w:uiPriority w:val="99"/>
    <w:rsid w:val="00453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4">
    <w:name w:val="xl64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l-GR"/>
    </w:rPr>
  </w:style>
  <w:style w:type="paragraph" w:customStyle="1" w:styleId="xl65">
    <w:name w:val="xl65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6">
    <w:name w:val="xl66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8">
    <w:name w:val="xl68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70">
    <w:name w:val="xl70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1">
    <w:name w:val="xl71"/>
    <w:basedOn w:val="Normal"/>
    <w:uiPriority w:val="99"/>
    <w:rsid w:val="00453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2">
    <w:name w:val="xl72"/>
    <w:basedOn w:val="Normal"/>
    <w:uiPriority w:val="99"/>
    <w:rsid w:val="00453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4536E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36E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36E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36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5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6E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99"/>
    <w:rsid w:val="004536EB"/>
    <w:pPr>
      <w:widowControl w:val="0"/>
      <w:autoSpaceDE w:val="0"/>
      <w:autoSpaceDN w:val="0"/>
      <w:spacing w:after="0" w:line="240" w:lineRule="auto"/>
    </w:pPr>
    <w:rPr>
      <w:rFonts w:cs="Calibri"/>
      <w:lang w:eastAsia="el-GR"/>
    </w:rPr>
  </w:style>
  <w:style w:type="paragraph" w:styleId="TOC2">
    <w:name w:val="toc 2"/>
    <w:basedOn w:val="Normal"/>
    <w:next w:val="Normal"/>
    <w:autoRedefine/>
    <w:uiPriority w:val="99"/>
    <w:rsid w:val="004536EB"/>
    <w:pPr>
      <w:spacing w:after="100" w:line="259" w:lineRule="auto"/>
      <w:ind w:left="220"/>
    </w:pPr>
    <w:rPr>
      <w:rFonts w:eastAsia="Times New Roman"/>
      <w:lang w:eastAsia="el-GR"/>
    </w:rPr>
  </w:style>
  <w:style w:type="character" w:customStyle="1" w:styleId="1">
    <w:name w:val="Ανεπίλυτη αναφορά1"/>
    <w:uiPriority w:val="99"/>
    <w:semiHidden/>
    <w:rsid w:val="004536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53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6EB"/>
    <w:rPr>
      <w:rFonts w:ascii="Calibri" w:hAnsi="Calibri" w:cs="Times New Roman"/>
    </w:rPr>
  </w:style>
  <w:style w:type="paragraph" w:styleId="Footer">
    <w:name w:val="footer"/>
    <w:aliases w:val="ft"/>
    <w:basedOn w:val="Normal"/>
    <w:link w:val="FooterChar"/>
    <w:uiPriority w:val="99"/>
    <w:rsid w:val="00453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locked/>
    <w:rsid w:val="004536EB"/>
    <w:rPr>
      <w:rFonts w:ascii="Calibri" w:hAnsi="Calibri" w:cs="Times New Roman"/>
    </w:rPr>
  </w:style>
  <w:style w:type="character" w:customStyle="1" w:styleId="2">
    <w:name w:val="Ανεπίλυτη αναφορά2"/>
    <w:uiPriority w:val="99"/>
    <w:semiHidden/>
    <w:rsid w:val="004536EB"/>
    <w:rPr>
      <w:color w:val="605E5C"/>
      <w:shd w:val="clear" w:color="auto" w:fill="E1DFDD"/>
    </w:rPr>
  </w:style>
  <w:style w:type="table" w:customStyle="1" w:styleId="3-21">
    <w:name w:val="Πίνακας λίστας 3 - Έμφαση 21"/>
    <w:uiPriority w:val="99"/>
    <w:rsid w:val="004536E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36EB"/>
    <w:rPr>
      <w:lang w:eastAsia="en-US"/>
    </w:rPr>
  </w:style>
  <w:style w:type="character" w:customStyle="1" w:styleId="3">
    <w:name w:val="Ανεπίλυτη αναφορά3"/>
    <w:uiPriority w:val="99"/>
    <w:semiHidden/>
    <w:rsid w:val="0045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4536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503</Words>
  <Characters>2722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LKN Analysis</cp:lastModifiedBy>
  <cp:revision>8</cp:revision>
  <cp:lastPrinted>2020-11-11T13:12:00Z</cp:lastPrinted>
  <dcterms:created xsi:type="dcterms:W3CDTF">2020-11-11T13:04:00Z</dcterms:created>
  <dcterms:modified xsi:type="dcterms:W3CDTF">2020-12-14T13:07:00Z</dcterms:modified>
</cp:coreProperties>
</file>